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Normal"/>
        <w:tabs>
          <w:tab w:val="clear" w:pos="708"/>
          <w:tab w:val="left" w:pos="851" w:leader="none"/>
          <w:tab w:val="left" w:pos="2127" w:leader="none"/>
        </w:tabs>
        <w:ind w:firstLine="567" w:end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  <w:t>Перечень документов, необходимых</w:t>
      </w:r>
    </w:p>
    <w:p>
      <w:pPr>
        <w:pStyle w:val="ConsNormal"/>
        <w:tabs>
          <w:tab w:val="clear" w:pos="708"/>
          <w:tab w:val="left" w:pos="851" w:leader="none"/>
          <w:tab w:val="left" w:pos="2127" w:leader="none"/>
        </w:tabs>
        <w:ind w:firstLine="567" w:end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  <w:t xml:space="preserve">для получения </w:t>
      </w:r>
      <w:r>
        <w:rPr>
          <w:rFonts w:cs="Times New Roman" w:ascii="Times New Roman" w:hAnsi="Times New Roman"/>
          <w:b/>
          <w:sz w:val="36"/>
          <w:szCs w:val="36"/>
        </w:rPr>
        <w:t xml:space="preserve">технических </w:t>
      </w:r>
      <w:r>
        <w:rPr>
          <w:rFonts w:cs="Times New Roman" w:ascii="Times New Roman" w:hAnsi="Times New Roman"/>
          <w:b/>
          <w:sz w:val="36"/>
          <w:szCs w:val="36"/>
        </w:rPr>
        <w:t xml:space="preserve">условий </w:t>
      </w:r>
      <w:r>
        <w:rPr>
          <w:rFonts w:cs="Times New Roman" w:ascii="Times New Roman" w:hAnsi="Times New Roman"/>
          <w:b/>
          <w:sz w:val="36"/>
          <w:szCs w:val="36"/>
        </w:rPr>
        <w:t xml:space="preserve">на </w:t>
      </w:r>
      <w:r>
        <w:rPr>
          <w:rFonts w:cs="Times New Roman" w:ascii="Times New Roman" w:hAnsi="Times New Roman"/>
          <w:b/>
          <w:sz w:val="36"/>
          <w:szCs w:val="36"/>
        </w:rPr>
        <w:t>подключени</w:t>
      </w:r>
      <w:r>
        <w:rPr>
          <w:rFonts w:cs="Times New Roman" w:ascii="Times New Roman" w:hAnsi="Times New Roman"/>
          <w:b/>
          <w:sz w:val="36"/>
          <w:szCs w:val="36"/>
        </w:rPr>
        <w:t>е</w:t>
      </w:r>
      <w:r>
        <w:rPr>
          <w:rFonts w:cs="Times New Roman" w:ascii="Times New Roman" w:hAnsi="Times New Roman"/>
          <w:b/>
          <w:sz w:val="36"/>
          <w:szCs w:val="36"/>
        </w:rPr>
        <w:t xml:space="preserve"> к сетям водоснабжения и водоотведения.</w:t>
      </w:r>
    </w:p>
    <w:p>
      <w:pPr>
        <w:pStyle w:val="ConsNormal"/>
        <w:tabs>
          <w:tab w:val="clear" w:pos="708"/>
          <w:tab w:val="left" w:pos="851" w:leader="none"/>
          <w:tab w:val="left" w:pos="2127" w:leader="none"/>
        </w:tabs>
        <w:ind w:firstLine="567" w:end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ConsNormal"/>
        <w:numPr>
          <w:ilvl w:val="2"/>
          <w:numId w:val="1"/>
        </w:numPr>
        <w:tabs>
          <w:tab w:val="clear" w:pos="708"/>
          <w:tab w:val="left" w:pos="851" w:leader="none"/>
        </w:tabs>
        <w:suppressAutoHyphens w:val="true"/>
        <w:ind w:hanging="142" w:start="142" w:end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  <w:t>Копии учредительных документов (для физ.лиц — копия паспорта), а также документы, подтверждающие полномочия лица, подписавшего заявление;</w:t>
      </w:r>
    </w:p>
    <w:p>
      <w:pPr>
        <w:pStyle w:val="ConsNormal"/>
        <w:numPr>
          <w:ilvl w:val="2"/>
          <w:numId w:val="1"/>
        </w:numPr>
        <w:tabs>
          <w:tab w:val="clear" w:pos="708"/>
          <w:tab w:val="left" w:pos="851" w:leader="none"/>
          <w:tab w:val="left" w:pos="1276" w:leader="none"/>
        </w:tabs>
        <w:suppressAutoHyphens w:val="true"/>
        <w:ind w:hanging="142" w:start="142" w:end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36"/>
          <w:szCs w:val="36"/>
        </w:rPr>
        <w:t>Копии</w:t>
      </w:r>
      <w:r>
        <w:rPr>
          <w:rFonts w:cs="Times New Roman" w:ascii="Times New Roman" w:hAnsi="Times New Roman"/>
          <w:color w:val="000000"/>
          <w:sz w:val="36"/>
          <w:szCs w:val="36"/>
        </w:rPr>
        <w:t xml:space="preserve"> правоустанавливающих </w:t>
      </w:r>
      <w:r>
        <w:rPr>
          <w:rFonts w:cs="Times New Roman" w:ascii="Times New Roman" w:hAnsi="Times New Roman"/>
          <w:color w:val="000000"/>
          <w:sz w:val="36"/>
          <w:szCs w:val="36"/>
        </w:rPr>
        <w:t xml:space="preserve">и правоудостоверяющих </w:t>
      </w:r>
      <w:r>
        <w:rPr>
          <w:rFonts w:cs="Times New Roman" w:ascii="Times New Roman" w:hAnsi="Times New Roman"/>
          <w:color w:val="000000"/>
          <w:sz w:val="36"/>
          <w:szCs w:val="36"/>
        </w:rPr>
        <w:t xml:space="preserve">документов на земельный участок, </w:t>
      </w:r>
      <w:r>
        <w:rPr>
          <w:rFonts w:cs="Times New Roman" w:ascii="Times New Roman" w:hAnsi="Times New Roman"/>
          <w:color w:val="000000"/>
          <w:sz w:val="36"/>
          <w:szCs w:val="36"/>
        </w:rPr>
        <w:t xml:space="preserve">на котором размещен (планируется к размещению) подключаемый объект. </w:t>
      </w:r>
      <w:r>
        <w:rPr>
          <w:rFonts w:cs="Times New Roman" w:ascii="Times New Roman" w:hAnsi="Times New Roman"/>
          <w:color w:val="000000"/>
          <w:sz w:val="36"/>
          <w:szCs w:val="36"/>
        </w:rPr>
        <w:t xml:space="preserve"> </w:t>
      </w:r>
      <w:r>
        <w:rPr>
          <w:rFonts w:cs="Times New Roman" w:ascii="Times New Roman" w:hAnsi="Times New Roman"/>
          <w:color w:val="000000"/>
          <w:sz w:val="36"/>
          <w:szCs w:val="36"/>
        </w:rPr>
        <w:t xml:space="preserve">При представлении в качестве правоудостоверяющего документа выписки из ЕГРН, такая выписка должна быть получена не ранее чем за 30 календарных дней до дня направления заявления о подключении. Для строящихся объектов — копия разрешения на строительство </w:t>
      </w:r>
      <w:r>
        <w:rPr>
          <w:rFonts w:cs="Times New Roman" w:ascii="Times New Roman" w:hAnsi="Times New Roman"/>
          <w:color w:val="000000"/>
          <w:sz w:val="36"/>
          <w:szCs w:val="36"/>
        </w:rPr>
        <w:t>(за исключением объектов, для строительства которых в соответствии с Градостроительным кодексом РФ выдача разрешения на строительство не требуется);</w:t>
      </w:r>
    </w:p>
    <w:p>
      <w:pPr>
        <w:pStyle w:val="ConsNormal"/>
        <w:numPr>
          <w:ilvl w:val="2"/>
          <w:numId w:val="1"/>
        </w:numPr>
        <w:tabs>
          <w:tab w:val="clear" w:pos="708"/>
          <w:tab w:val="left" w:pos="851" w:leader="none"/>
          <w:tab w:val="left" w:pos="1276" w:leader="none"/>
        </w:tabs>
        <w:suppressAutoHyphens w:val="true"/>
        <w:ind w:hanging="142" w:start="142" w:end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  <w:t>Ситуационный план расположения объекта с привязкой к территории населенного пункта</w:t>
      </w:r>
      <w:r>
        <w:rPr>
          <w:rFonts w:cs="Times New Roman" w:ascii="Times New Roman" w:hAnsi="Times New Roman"/>
          <w:sz w:val="36"/>
          <w:szCs w:val="36"/>
        </w:rPr>
        <w:t>;</w:t>
      </w:r>
    </w:p>
    <w:p>
      <w:pPr>
        <w:pStyle w:val="ConsNormal"/>
        <w:numPr>
          <w:ilvl w:val="2"/>
          <w:numId w:val="1"/>
        </w:numPr>
        <w:tabs>
          <w:tab w:val="clear" w:pos="708"/>
          <w:tab w:val="left" w:pos="851" w:leader="none"/>
          <w:tab w:val="left" w:pos="1276" w:leader="none"/>
        </w:tabs>
        <w:suppressAutoHyphens w:val="true"/>
        <w:ind w:hanging="142" w:start="142" w:end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  <w:t>Топографическая карта земельного участка на котором размещен (планируется к размещению) подключаемый объект, в масштабе 1:500 ср всеми наземными и подземными коммуникациями и сооружениями, с указанием границ земельного участка, согласованная с эксплуатирующими организациями;</w:t>
      </w:r>
    </w:p>
    <w:p>
      <w:pPr>
        <w:pStyle w:val="ConsNormal"/>
        <w:numPr>
          <w:ilvl w:val="2"/>
          <w:numId w:val="1"/>
        </w:numPr>
        <w:tabs>
          <w:tab w:val="clear" w:pos="708"/>
          <w:tab w:val="left" w:pos="851" w:leader="none"/>
          <w:tab w:val="left" w:pos="1276" w:leader="none"/>
        </w:tabs>
        <w:suppressAutoHyphens w:val="true"/>
        <w:ind w:hanging="142" w:start="142" w:end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  <w:t>Баланс водопотребления и (или) водоотведения подключаемого объекта.</w:t>
      </w:r>
    </w:p>
    <w:p>
      <w:pPr>
        <w:pStyle w:val="ConsNormal"/>
        <w:tabs>
          <w:tab w:val="clear" w:pos="708"/>
          <w:tab w:val="left" w:pos="851" w:leader="none"/>
          <w:tab w:val="left" w:pos="1276" w:leader="none"/>
        </w:tabs>
        <w:suppressAutoHyphens w:val="true"/>
        <w:ind w:hanging="0" w:end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lineRule="auto" w:line="240" w:before="0" w:after="0"/>
        <w:rPr>
          <w:rFonts w:ascii="Proxima Nova Rg" w:hAnsi="Proxima Nova Rg" w:cs="Times New Roman"/>
          <w:b/>
          <w:i/>
          <w:sz w:val="36"/>
          <w:szCs w:val="36"/>
        </w:rPr>
      </w:pPr>
      <w:r>
        <w:rPr>
          <w:rFonts w:cs="Times New Roman" w:ascii="Proxima Nova Rg" w:hAnsi="Proxima Nova Rg"/>
          <w:b/>
          <w:i/>
          <w:sz w:val="36"/>
          <w:szCs w:val="36"/>
        </w:rPr>
        <w:t>Часы приема для подачи документов: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  <w:t>понедельник - пятница – с 8:00 до 18:00 без перерыва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  <w:t>г. Димитровград, ул. Куйбышева, 150, 1 этаж, кабинет 101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  <w:t xml:space="preserve">Телефоны: </w:t>
        <w:tab/>
        <w:t>+7 (84235) 2-66-03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  <w:tab/>
        <w:tab/>
        <w:tab/>
        <w:t>+7 (84235) 2-76-66</w:t>
      </w:r>
      <w:bookmarkStart w:id="0" w:name="_GoBack"/>
      <w:bookmarkEnd w:id="0"/>
    </w:p>
    <w:p>
      <w:pPr>
        <w:pStyle w:val="Normal"/>
        <w:spacing w:before="0" w:after="200"/>
        <w:rPr>
          <w:rFonts w:ascii="Times New Roman" w:hAnsi="Times New Roman" w:eastAsia="Times New Roman" w:cs="Times New Roman"/>
          <w:b/>
          <w:sz w:val="36"/>
          <w:szCs w:val="36"/>
        </w:rPr>
      </w:pPr>
      <w:r>
        <w:rPr>
          <w:rFonts w:eastAsia="Times New Roman" w:cs="Times New Roman" w:ascii="Times New Roman" w:hAnsi="Times New Roman"/>
          <w:b/>
          <w:sz w:val="36"/>
          <w:szCs w:val="36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Proxima Nova Rg">
    <w:charset w:val="cc" w:characterSet="windows-125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decimal"/>
      <w:lvlText w:val="%3."/>
      <w:lvlJc w:val="end"/>
      <w:pPr>
        <w:tabs>
          <w:tab w:val="num" w:pos="0"/>
        </w:tabs>
        <w:ind w:start="180" w:hanging="180"/>
      </w:pPr>
      <w:rPr>
        <w:rFonts w:ascii="Times New Roman" w:hAnsi="Times New Roman" w:eastAsia="Times New Roman" w:cs="Times New Roman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semiHidden/>
    <w:qFormat/>
    <w:rsid w:val="008269c0"/>
    <w:rPr/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8269c0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</w:rPr>
  </w:style>
  <w:style w:type="paragraph" w:styleId="ConsNormal" w:customStyle="1">
    <w:name w:val="ConsNormal"/>
    <w:qFormat/>
    <w:rsid w:val="00780739"/>
    <w:pPr>
      <w:widowControl/>
      <w:bidi w:val="0"/>
      <w:spacing w:lineRule="auto" w:line="240" w:before="0" w:after="0"/>
      <w:ind w:firstLine="720" w:end="19772"/>
      <w:jc w:val="star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18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semiHidden/>
    <w:unhideWhenUsed/>
    <w:rsid w:val="008269c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semiHidden/>
    <w:unhideWhenUsed/>
    <w:rsid w:val="008269c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165a3d"/>
    <w:pPr>
      <w:spacing w:before="0" w:after="200"/>
      <w:ind w:start="720"/>
      <w:contextualSpacing/>
    </w:pPr>
    <w:rPr>
      <w:rFonts w:eastAsia="Calibri" w:eastAsiaTheme="minorHAnsi"/>
      <w:lang w:eastAsia="en-US"/>
    </w:rPr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LibreOffice/26.2.5.2$Windows_X86_64 LibreOffice_project/cd7284b4cbbfeb507e630c1aac019f4157393acb</Application>
  <AppVersion>15.0000</AppVersion>
  <Pages>1</Pages>
  <Words>134</Words>
  <Characters>770</Characters>
  <CharactersWithSpaces>903</CharactersWithSpaces>
  <Paragraphs>1</Paragraphs>
  <Company>vodokanal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2019-06-04T08:08:00Z</dcterms:created>
  <dc:creator>Яблочкина Л</dc:creator>
  <dc:description/>
  <dc:language>ru-RU</dc:language>
  <cp:lastModifiedBy/>
  <cp:lastPrinted>2014-12-17T06:37:00Z</cp:lastPrinted>
  <dcterms:modified xsi:type="dcterms:W3CDTF">2026-08-27T11:45:43Z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